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0E6B" w14:textId="77777777" w:rsidR="003E053F" w:rsidRDefault="003E053F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6D234388" w14:textId="77777777" w:rsidR="006E6694" w:rsidRDefault="006E6694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13785EC6" w14:textId="01DBE7EE" w:rsidR="00BB2754" w:rsidRPr="003E053F" w:rsidRDefault="00386A61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INFORMACJA DOTYCZĄC</w:t>
      </w:r>
      <w:r w:rsidR="000431E5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PRZETWARZANIA DANYCH OSOBOWYCH DLA</w:t>
      </w:r>
      <w:r w:rsidR="00D07008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KANDYDATÓW/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UCZESTNIKÓW PROJEKTU:</w:t>
      </w:r>
    </w:p>
    <w:p w14:paraId="70C46E21" w14:textId="77777777" w:rsidR="004B68E8" w:rsidRDefault="004B68E8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23199026" w14:textId="77777777" w:rsidR="001E2177" w:rsidRPr="00033B3D" w:rsidRDefault="001E2177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76D8FF0F" w14:textId="2C14E815" w:rsidR="00386A61" w:rsidRPr="00033B3D" w:rsidRDefault="00770575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„</w:t>
      </w:r>
      <w:r w:rsidR="00386A61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Wsparcie osób dorosłych z subregionu centralnego Województwa Śląskiego w zakresie nabywania zielonych kompetencji /kwalifikacji</w:t>
      </w: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”</w:t>
      </w:r>
      <w:r w:rsidR="00386A61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 w ramach Programu Fundusze Europejskie dla Śląskiego 2021-2027 Współfinansowanego Ze Środków Funduszu Na Rzecz Sprawiedliwej Transformacji. </w:t>
      </w:r>
      <w:r w:rsidR="000431E5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Nr Umowy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FESL.10.17-IP.02-076B/23-00</w:t>
      </w:r>
      <w:r w:rsidR="004742FC" w:rsidRPr="00033B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B3BCD74" w14:textId="77777777" w:rsidR="00386A61" w:rsidRPr="00033B3D" w:rsidRDefault="00386A61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077E892D" w14:textId="209021F2" w:rsidR="00386A61" w:rsidRPr="00033B3D" w:rsidRDefault="00BB2754" w:rsidP="000C74B0">
      <w:pPr>
        <w:spacing w:after="0" w:line="240" w:lineRule="auto"/>
        <w:ind w:right="111"/>
        <w:jc w:val="both"/>
        <w:rPr>
          <w:rFonts w:ascii="Calibri" w:hAnsi="Calibri" w:cs="Calibri"/>
          <w:b/>
          <w:bCs/>
          <w:color w:val="000000" w:themeColor="text1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 xml:space="preserve">Zgodnie z art. 13 ust. 1 i ust. 2 oraz art. 14 ust. 1 i ust. 2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Rozporządzenia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Parlamentu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Europejskiego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i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Rady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(UE)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2016/679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27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kwietnia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2016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sprawie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ochrony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osób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fizycznych 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związku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przetwarzaniem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danych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osobowych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i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sprawie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swobodnego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przepływu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takich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danych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(Dz.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2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Urz.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UE.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L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119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4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 xml:space="preserve">maja 2016 r., s.1-88), </w:t>
      </w: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informujemy, że:</w:t>
      </w:r>
    </w:p>
    <w:p w14:paraId="036485E9" w14:textId="77777777" w:rsidR="00386A61" w:rsidRPr="00033B3D" w:rsidRDefault="00386A61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78679F13" w14:textId="38017567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ADMINISTRATOR DANYCH</w:t>
      </w:r>
    </w:p>
    <w:p w14:paraId="127A4643" w14:textId="36EE24CC" w:rsidR="00386A61" w:rsidRPr="00033B3D" w:rsidRDefault="00386A61" w:rsidP="000C74B0">
      <w:pPr>
        <w:spacing w:after="0" w:line="240" w:lineRule="auto"/>
        <w:jc w:val="both"/>
        <w:rPr>
          <w:rStyle w:val="Hipercze1"/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color w:val="000000" w:themeColor="text1"/>
        </w:rPr>
        <w:t>Administratorem danych osobowych jest</w:t>
      </w:r>
      <w:r w:rsidRPr="00033B3D">
        <w:rPr>
          <w:rFonts w:ascii="Calibri" w:hAnsi="Calibri" w:cs="Calibri"/>
          <w:color w:val="000000" w:themeColor="text1"/>
        </w:rPr>
        <w:t xml:space="preserve"> Górnośląski </w:t>
      </w:r>
      <w:r w:rsidRPr="00033B3D">
        <w:rPr>
          <w:rFonts w:ascii="Calibri" w:hAnsi="Calibri" w:cs="Calibri"/>
          <w:color w:val="000000" w:themeColor="text1"/>
          <w:lang w:eastAsia="zh-CN"/>
        </w:rPr>
        <w:t xml:space="preserve">Akcelerator Przedsiębiorczości Rynkowej </w:t>
      </w:r>
      <w:r w:rsidR="005852AC" w:rsidRPr="00033B3D">
        <w:rPr>
          <w:rFonts w:ascii="Calibri" w:hAnsi="Calibri" w:cs="Calibri"/>
          <w:color w:val="000000" w:themeColor="text1"/>
          <w:lang w:eastAsia="zh-CN"/>
        </w:rPr>
        <w:t>s</w:t>
      </w:r>
      <w:r w:rsidRPr="00033B3D">
        <w:rPr>
          <w:rFonts w:ascii="Calibri" w:hAnsi="Calibri" w:cs="Calibri"/>
          <w:color w:val="000000" w:themeColor="text1"/>
          <w:lang w:eastAsia="zh-CN"/>
        </w:rPr>
        <w:t>p. z o.o.</w:t>
      </w:r>
      <w:r w:rsidRPr="00033B3D">
        <w:rPr>
          <w:rFonts w:ascii="Calibri" w:hAnsi="Calibri" w:cs="Calibri"/>
          <w:color w:val="000000" w:themeColor="text1"/>
        </w:rPr>
        <w:t xml:space="preserve"> z siedzibą</w:t>
      </w:r>
      <w:r w:rsidRPr="00033B3D">
        <w:rPr>
          <w:rFonts w:ascii="Calibri" w:eastAsia="Times New Roman" w:hAnsi="Calibri" w:cs="Calibri"/>
          <w:color w:val="000000" w:themeColor="text1"/>
        </w:rPr>
        <w:t xml:space="preserve"> w Gliwicach, adres:</w:t>
      </w:r>
      <w:r w:rsidRPr="00033B3D">
        <w:rPr>
          <w:rFonts w:ascii="Calibri" w:hAnsi="Calibri" w:cs="Calibri"/>
          <w:color w:val="000000" w:themeColor="text1"/>
        </w:rPr>
        <w:t xml:space="preserve"> ul. Wincentego Pola 16, 44-100 Gliwice, </w:t>
      </w:r>
      <w:r w:rsidRPr="00033B3D">
        <w:rPr>
          <w:rFonts w:ascii="Calibri" w:eastAsia="Times New Roman" w:hAnsi="Calibri" w:cs="Calibri"/>
          <w:color w:val="000000" w:themeColor="text1"/>
        </w:rPr>
        <w:t>tel</w:t>
      </w:r>
      <w:r w:rsidRPr="00033B3D">
        <w:rPr>
          <w:rFonts w:ascii="Calibri" w:hAnsi="Calibri" w:cs="Calibri"/>
          <w:color w:val="000000" w:themeColor="text1"/>
        </w:rPr>
        <w:t>. </w:t>
      </w:r>
      <w:hyperlink r:id="rId8" w:history="1">
        <w:r w:rsidRPr="00033B3D">
          <w:rPr>
            <w:rStyle w:val="Hipercze1"/>
            <w:rFonts w:ascii="Calibri" w:hAnsi="Calibri" w:cs="Calibri"/>
            <w:color w:val="000000" w:themeColor="text1"/>
          </w:rPr>
          <w:t>+48 32 33 93 110</w:t>
        </w:r>
      </w:hyperlink>
      <w:r w:rsidRPr="00033B3D">
        <w:rPr>
          <w:rFonts w:ascii="Calibri" w:hAnsi="Calibri" w:cs="Calibri"/>
          <w:color w:val="000000" w:themeColor="text1"/>
        </w:rPr>
        <w:t xml:space="preserve">, e-mail: </w:t>
      </w:r>
      <w:hyperlink r:id="rId9" w:history="1">
        <w:r w:rsidRPr="00033B3D">
          <w:rPr>
            <w:rStyle w:val="Hipercze1"/>
            <w:rFonts w:ascii="Calibri" w:hAnsi="Calibri" w:cs="Calibri"/>
            <w:color w:val="000000" w:themeColor="text1"/>
          </w:rPr>
          <w:t>gapr@gapr.pl</w:t>
        </w:r>
      </w:hyperlink>
    </w:p>
    <w:p w14:paraId="133B49F7" w14:textId="74B5CA68" w:rsidR="00386A61" w:rsidRPr="00033B3D" w:rsidRDefault="00386A61" w:rsidP="000C74B0">
      <w:p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>Administrator pełni rolę Beneficjenta programu Fundusze Europejskie dla Śląskiego 2021-2027.</w:t>
      </w:r>
    </w:p>
    <w:p w14:paraId="67CDFD6D" w14:textId="537E0035" w:rsidR="005852AC" w:rsidRPr="00033B3D" w:rsidRDefault="005852AC" w:rsidP="000C74B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>Kontakt z administratorem dostępny jest z wykorzystaniem wskazanych wyżej danych kontaktowych.</w:t>
      </w:r>
    </w:p>
    <w:p w14:paraId="40F52FB4" w14:textId="77777777" w:rsidR="00386A61" w:rsidRPr="00033B3D" w:rsidRDefault="00386A61" w:rsidP="000C74B0">
      <w:p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</w:p>
    <w:p w14:paraId="56AB4F39" w14:textId="36777F5F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INSPEKTOR OCHRONY DANYCH</w:t>
      </w:r>
    </w:p>
    <w:p w14:paraId="14A1B266" w14:textId="77777777" w:rsidR="00386A61" w:rsidRPr="00033B3D" w:rsidRDefault="00386A61" w:rsidP="000C74B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color w:val="000000" w:themeColor="text1"/>
        </w:rPr>
        <w:t xml:space="preserve">Administrator </w:t>
      </w:r>
      <w:r w:rsidRPr="00033B3D">
        <w:rPr>
          <w:rFonts w:ascii="Calibri" w:hAnsi="Calibri" w:cs="Calibri"/>
          <w:color w:val="000000" w:themeColor="text1"/>
        </w:rPr>
        <w:t xml:space="preserve">wyznaczył Inspektora Ochrony Danych, z którym może się </w:t>
      </w:r>
      <w:r w:rsidRPr="00033B3D">
        <w:rPr>
          <w:rFonts w:ascii="Calibri" w:eastAsia="Times New Roman" w:hAnsi="Calibri" w:cs="Calibri"/>
          <w:color w:val="000000" w:themeColor="text1"/>
        </w:rPr>
        <w:t xml:space="preserve">Pani/Pan </w:t>
      </w:r>
      <w:r w:rsidRPr="00033B3D">
        <w:rPr>
          <w:rFonts w:ascii="Calibri" w:hAnsi="Calibri" w:cs="Calibri"/>
          <w:color w:val="000000" w:themeColor="text1"/>
        </w:rPr>
        <w:t>skontaktować w sprawach związanych z ochroną danych osobowych, w następujący sposób:</w:t>
      </w:r>
    </w:p>
    <w:p w14:paraId="7D23C04C" w14:textId="77777777" w:rsidR="00386A61" w:rsidRPr="00033B3D" w:rsidRDefault="00386A61" w:rsidP="000C74B0">
      <w:pPr>
        <w:pStyle w:val="Akapitzlist1"/>
        <w:numPr>
          <w:ilvl w:val="0"/>
          <w:numId w:val="10"/>
        </w:numPr>
        <w:tabs>
          <w:tab w:val="clear" w:pos="0"/>
        </w:tabs>
        <w:spacing w:after="0" w:line="240" w:lineRule="auto"/>
        <w:ind w:left="567" w:hanging="567"/>
        <w:rPr>
          <w:color w:val="000000" w:themeColor="text1"/>
          <w:sz w:val="22"/>
        </w:rPr>
      </w:pPr>
      <w:r w:rsidRPr="00033B3D">
        <w:rPr>
          <w:color w:val="000000" w:themeColor="text1"/>
          <w:sz w:val="22"/>
        </w:rPr>
        <w:t xml:space="preserve">pod adresem poczty elektronicznej: </w:t>
      </w:r>
      <w:hyperlink r:id="rId10" w:history="1">
        <w:r w:rsidRPr="00033B3D">
          <w:rPr>
            <w:rStyle w:val="Hipercze1"/>
            <w:color w:val="000000" w:themeColor="text1"/>
            <w:sz w:val="22"/>
          </w:rPr>
          <w:t>iod@gapr.pl</w:t>
        </w:r>
      </w:hyperlink>
      <w:r w:rsidRPr="00033B3D">
        <w:rPr>
          <w:color w:val="000000" w:themeColor="text1"/>
          <w:sz w:val="22"/>
        </w:rPr>
        <w:t xml:space="preserve"> </w:t>
      </w:r>
    </w:p>
    <w:p w14:paraId="5F9530FF" w14:textId="77777777" w:rsidR="00386A61" w:rsidRPr="00033B3D" w:rsidRDefault="00386A61" w:rsidP="000C74B0">
      <w:pPr>
        <w:pStyle w:val="Akapitzlist1"/>
        <w:numPr>
          <w:ilvl w:val="0"/>
          <w:numId w:val="10"/>
        </w:numPr>
        <w:tabs>
          <w:tab w:val="clear" w:pos="0"/>
        </w:tabs>
        <w:spacing w:after="0" w:line="240" w:lineRule="auto"/>
        <w:ind w:left="567" w:hanging="567"/>
        <w:rPr>
          <w:color w:val="000000" w:themeColor="text1"/>
          <w:sz w:val="22"/>
        </w:rPr>
      </w:pPr>
      <w:r w:rsidRPr="00033B3D">
        <w:rPr>
          <w:rFonts w:eastAsia="Times New Roman"/>
          <w:color w:val="000000" w:themeColor="text1"/>
          <w:sz w:val="22"/>
        </w:rPr>
        <w:t>pisemnie na adres siedziby Administratora.</w:t>
      </w:r>
    </w:p>
    <w:p w14:paraId="79859D8B" w14:textId="77777777" w:rsidR="00386A61" w:rsidRPr="00033B3D" w:rsidRDefault="00386A61" w:rsidP="000C74B0">
      <w:pPr>
        <w:pStyle w:val="Akapitzlist1"/>
        <w:spacing w:after="0" w:line="240" w:lineRule="auto"/>
        <w:ind w:left="1134"/>
        <w:rPr>
          <w:color w:val="000000" w:themeColor="text1"/>
          <w:sz w:val="22"/>
        </w:rPr>
      </w:pPr>
    </w:p>
    <w:p w14:paraId="1BB88CF6" w14:textId="4CBE067F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CELE PRZETWARZANIA DANYCH OSOBOWYCH</w:t>
      </w:r>
    </w:p>
    <w:p w14:paraId="5E4673E0" w14:textId="77777777" w:rsidR="006A4CCC" w:rsidRPr="00033B3D" w:rsidRDefault="00386A61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Dane osobowe przetwarzamy w związku z realizacją zadań </w:t>
      </w:r>
      <w:r w:rsidR="005E4505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określonych w umowie o dofinansowanie projektu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Wsparcie osób dorosłych z subregionu centralnego województwa śląskiego w zakresie nabywania zielonych kompetencji/kwalifikacji</w:t>
      </w:r>
      <w:r w:rsidR="005E4505" w:rsidRPr="00033B3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w ramach Programu Fundusze Europejskie dla Śląskiego 2021-2027</w:t>
      </w:r>
      <w:r w:rsidR="000431E5" w:rsidRPr="00033B3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współfinansowanego ze środków Funduszu na rzecz Sprawiedliwej Transformacji (Nr Umowy: FESL.10.17-IP.02-076B/23-00)</w:t>
      </w:r>
      <w:r w:rsidR="000431E5" w:rsidRPr="00033B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E3AE00A" w14:textId="49293A49" w:rsidR="006A4CCC" w:rsidRPr="00033B3D" w:rsidRDefault="006A4CCC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Wobec powyższego dane osobowe będą przetwarzane w związku z realizacją Programu Fundusze Europejskie dla Śląskiego 2021-2027 (FE SL 2021-2027), w szczególności w celu rekrutacji do projektu,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</w:t>
      </w:r>
      <w:r w:rsidRPr="00033B3D">
        <w:rPr>
          <w:rFonts w:ascii="Calibri" w:hAnsi="Calibri" w:cs="Calibri"/>
          <w:color w:val="000000" w:themeColor="text1"/>
          <w:spacing w:val="4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i przechowywania w formie elektronicznej danych dotyczących projektu, archiwizacji dokumentacji, prowadzenia działań </w:t>
      </w:r>
      <w:proofErr w:type="spellStart"/>
      <w:r w:rsidRPr="00033B3D">
        <w:rPr>
          <w:rFonts w:ascii="Calibri" w:hAnsi="Calibri" w:cs="Calibri"/>
          <w:color w:val="000000" w:themeColor="text1"/>
          <w:sz w:val="22"/>
          <w:szCs w:val="22"/>
        </w:rPr>
        <w:t>informacyjno</w:t>
      </w:r>
      <w:proofErr w:type="spellEnd"/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</w:t>
      </w:r>
    </w:p>
    <w:p w14:paraId="2CBB4451" w14:textId="44A945BF" w:rsidR="006A4CCC" w:rsidRPr="00033B3D" w:rsidRDefault="006A4CCC" w:rsidP="000C74B0">
      <w:pPr>
        <w:pStyle w:val="Tekstpodstawowy"/>
        <w:spacing w:before="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Podanie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danych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dobrowolne,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ale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konieczne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do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realizacji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wyżej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wymienionego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celu.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Odmowa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pacing w:val="-5"/>
          <w:sz w:val="22"/>
          <w:szCs w:val="22"/>
        </w:rPr>
        <w:t>ich</w:t>
      </w:r>
      <w:r w:rsidR="00E72B1B"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podania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033B3D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równoznaczna</w:t>
      </w:r>
      <w:r w:rsidRPr="00033B3D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brakiem</w:t>
      </w:r>
      <w:r w:rsidRPr="00033B3D">
        <w:rPr>
          <w:rFonts w:ascii="Calibri" w:hAnsi="Calibri" w:cs="Calibri"/>
          <w:color w:val="000000" w:themeColor="text1"/>
          <w:spacing w:val="-9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możliwości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podjęcia</w:t>
      </w:r>
      <w:r w:rsidRPr="00033B3D">
        <w:rPr>
          <w:rFonts w:ascii="Calibri" w:hAnsi="Calibri" w:cs="Calibri"/>
          <w:color w:val="000000" w:themeColor="text1"/>
          <w:spacing w:val="-9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stosownych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pacing w:val="-2"/>
          <w:sz w:val="22"/>
          <w:szCs w:val="22"/>
        </w:rPr>
        <w:t>działań.</w:t>
      </w:r>
    </w:p>
    <w:p w14:paraId="2EF5584F" w14:textId="19197BEC" w:rsidR="00386A61" w:rsidRPr="00033B3D" w:rsidRDefault="008107BE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PODSTAWA PRZETWARZANIA</w:t>
      </w:r>
      <w:r w:rsidR="00A21896"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:</w:t>
      </w:r>
    </w:p>
    <w:p w14:paraId="57C9D096" w14:textId="70FB993A" w:rsidR="00C21202" w:rsidRPr="00033B3D" w:rsidRDefault="008107BE" w:rsidP="000C7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Będziemy przetwarzać Państwa dane osobowe, w związku z tym, że:</w:t>
      </w:r>
    </w:p>
    <w:p w14:paraId="65CBA86F" w14:textId="35A24574" w:rsidR="005852AC" w:rsidRPr="00033B3D" w:rsidRDefault="000C43D7" w:rsidP="000C74B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p</w:t>
      </w:r>
      <w:r w:rsidR="005852A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rzetwarzanie danych jest niezbędne do podjęcia działań na żądanie osoby, której dane dotyczą, przed </w:t>
      </w:r>
      <w:r w:rsidR="00473B5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zawarciem umowy, lub przetwarzanie jest niezbędne do wykonania umowy, której stroną jest osoba, której dane dotyczą (art. 6 ust. 1 lit. b) RODO). </w:t>
      </w:r>
    </w:p>
    <w:p w14:paraId="230DDA09" w14:textId="1FBC7F4E" w:rsidR="006A4CCC" w:rsidRPr="00033B3D" w:rsidRDefault="006A4CCC" w:rsidP="000C74B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zobowiązuje nas do tego prawo (art. 6 ust. 1 lit. c) RODO</w:t>
      </w:r>
      <w:r w:rsidR="00F1635E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, art. 9 ust. 2 lit. g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)</w:t>
      </w:r>
      <w:r w:rsidR="00F1635E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RODO )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:</w:t>
      </w:r>
    </w:p>
    <w:p w14:paraId="1C33B68C" w14:textId="3E1E2465" w:rsidR="00BB2754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D7E11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, w szczególności art. 44, art. 69, art. 72-74, art. 76, art. 82. </w:t>
      </w:r>
    </w:p>
    <w:p w14:paraId="295C76AA" w14:textId="7D092D8D" w:rsidR="00245B7F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Rozporządzenie Parlamentu Europejskiego i Rady (UE) 2021/1056 z dnia 24 czerwca 2021 r. ustanawiające Fundusz na rzecz Sprawiedliwej Transformacji („</w:t>
      </w:r>
      <w:proofErr w:type="spellStart"/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</w:t>
      </w:r>
      <w:proofErr w:type="spellEnd"/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. FST”) </w:t>
      </w:r>
    </w:p>
    <w:p w14:paraId="08A82B39" w14:textId="4199FAD3" w:rsidR="00BB2754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Ustawa </w:t>
      </w:r>
      <w:r w:rsidR="006A4CC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z dnia 28 kwietnia 2022 roku 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o zasadach realizacji zadań finansowanych ze środków europejskich w perspektywie finansowej 2021-2027(„ustawa wdrożeniowa”) </w:t>
      </w:r>
    </w:p>
    <w:p w14:paraId="24F19AAD" w14:textId="77777777" w:rsidR="00C21202" w:rsidRPr="00033B3D" w:rsidRDefault="00C21202" w:rsidP="000C74B0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0721523" w14:textId="2DE8FF61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ŹRÓDŁO DANYCH OSOBOWYCH</w:t>
      </w:r>
    </w:p>
    <w:p w14:paraId="70F2825C" w14:textId="3098ACB7" w:rsidR="00BB2754" w:rsidRPr="00033B3D" w:rsidRDefault="00536D9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hAnsi="Calibri" w:cs="Calibri"/>
          <w:color w:val="000000" w:themeColor="text1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4061367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F779828" w14:textId="553389FB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INFORMACJE O ODBIORCACH DANYCH</w:t>
      </w:r>
    </w:p>
    <w:p w14:paraId="4A2D62FF" w14:textId="77777777" w:rsidR="00E72B1B" w:rsidRPr="00033B3D" w:rsidRDefault="00E72B1B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4A3BABC0" w14:textId="121EDE3E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podmiotom, którym zleciliśmy wykonywanie zadań w ramach projektu;</w:t>
      </w:r>
    </w:p>
    <w:p w14:paraId="6E38B9CB" w14:textId="263D2BDF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podmiotom uprawnionym do uzyskania danych osobowych na podstawie przepisów prawa; </w:t>
      </w:r>
    </w:p>
    <w:p w14:paraId="68E1DDAB" w14:textId="77777777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59263394" w14:textId="64D46845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podmiotom, które wykonują dla nas usługi, w tym podmiotom wykonującym usługi związane z obsługą i rozwojem systemów teleinformatycznych, a także zapewnieniem łączności, np. dostawcom rozwiązań IT i operatorom telekomunikacyjnym. </w:t>
      </w:r>
    </w:p>
    <w:p w14:paraId="36863B37" w14:textId="77777777" w:rsidR="00C21202" w:rsidRPr="00033B3D" w:rsidRDefault="00C21202" w:rsidP="000C7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B46EBBA" w14:textId="22FEBFF9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OKRES PRZECHOWYWANIA DANYCH</w:t>
      </w:r>
    </w:p>
    <w:p w14:paraId="01967AA6" w14:textId="45B9F3FC" w:rsidR="00C21202" w:rsidRPr="00033B3D" w:rsidRDefault="00E72B1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hAnsi="Calibri" w:cs="Calibri"/>
          <w:color w:val="000000" w:themeColor="text1"/>
        </w:rPr>
        <w:t>Dane osobowe są przechowywane przez okres niezbędny do realizacji celów określonych w punkcie 3.</w:t>
      </w:r>
    </w:p>
    <w:p w14:paraId="14BFBABE" w14:textId="5764F821" w:rsidR="004275FC" w:rsidRPr="00033B3D" w:rsidRDefault="004275FC" w:rsidP="000C74B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73E3B3EA" w14:textId="7B3B7DCC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PRAWA OSÓB, KTÓRYCH DANE DOTYCZĄ</w:t>
      </w:r>
    </w:p>
    <w:p w14:paraId="017A0FBF" w14:textId="77777777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Przysługuje Państwu:</w:t>
      </w:r>
    </w:p>
    <w:p w14:paraId="42BAD00E" w14:textId="7CB31B29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dostępu do swoich danych osobowych oraz informacji na temat sposobu ich przetwarzania,</w:t>
      </w:r>
      <w:r w:rsidR="00C21202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w tym </w:t>
      </w:r>
      <w:r w:rsidR="006C2CC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otrzymania </w:t>
      </w:r>
      <w:r w:rsidR="00C21202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ich kopii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15 RODO);</w:t>
      </w:r>
    </w:p>
    <w:p w14:paraId="13CC6F5F" w14:textId="7D1729FF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prawo żądania </w:t>
      </w:r>
      <w:r w:rsidR="00B22D3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sprostowania 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16 RODO);</w:t>
      </w:r>
    </w:p>
    <w:p w14:paraId="24D95CFD" w14:textId="367D3997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żądania usunięcia 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17 RODO);</w:t>
      </w:r>
    </w:p>
    <w:p w14:paraId="41D128B5" w14:textId="7117323B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ograniczenia przetwarzania 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18 RODO)</w:t>
      </w:r>
    </w:p>
    <w:p w14:paraId="10137695" w14:textId="02CA8AA6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prawo do wniesienia sprzeciwu wobec przetwarzania </w:t>
      </w:r>
      <w:r w:rsidR="00B22D3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21 RODO)</w:t>
      </w:r>
    </w:p>
    <w:p w14:paraId="4EDCEB44" w14:textId="77777777" w:rsidR="00E72B1B" w:rsidRPr="00033B3D" w:rsidRDefault="00C21202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 przeniesienia swoich danych osobowyc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h (art. 20 RODO);</w:t>
      </w:r>
    </w:p>
    <w:p w14:paraId="55B8E8E7" w14:textId="77777777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Poszczególne prawa można realizować kontaktując się z administratorem danych lub inspektorem ochrony danych.</w:t>
      </w:r>
    </w:p>
    <w:p w14:paraId="5067CE86" w14:textId="396ABBFA" w:rsidR="00C21202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033B3D">
          <w:rPr>
            <w:rFonts w:ascii="Calibri" w:eastAsia="Times New Roman" w:hAnsi="Calibri" w:cs="Calibri"/>
            <w:color w:val="000000" w:themeColor="text1"/>
            <w:kern w:val="0"/>
            <w:u w:val="single"/>
            <w:lang w:eastAsia="pl-PL"/>
            <w14:ligatures w14:val="none"/>
          </w:rPr>
          <w:t>https://uodo.gov.pl/pl/p/kontakt</w:t>
        </w:r>
      </w:hyperlink>
    </w:p>
    <w:p w14:paraId="5A9EE2C3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F4375C2" w14:textId="60E4C5D3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OBOWIĄZEK PODANIA DANYCH</w:t>
      </w:r>
    </w:p>
    <w:p w14:paraId="4D105A37" w14:textId="0761C4CE" w:rsidR="00C21202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Podanie danych osobowych jest obowiązkowe, a konsekwencją niepodania danych osobowych będzie brak możliwości uczestnictwa w projekcie.</w:t>
      </w:r>
    </w:p>
    <w:p w14:paraId="24DC5616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D2E237A" w14:textId="0CECA17C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ZAUTOMATYZOWANE PRZETWARZANIE I PROFILOWANIE</w:t>
      </w:r>
    </w:p>
    <w:p w14:paraId="5E13D962" w14:textId="26849D1A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Dane osobowe nie będą wykorzystywane do zautomatyzowanego podejmowania decyzji ani profilowania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.</w:t>
      </w:r>
    </w:p>
    <w:p w14:paraId="302BA845" w14:textId="77777777" w:rsidR="00E72B1B" w:rsidRPr="00033B3D" w:rsidRDefault="00E72B1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08DBB097" w14:textId="60C53EFA" w:rsidR="00D25E0C" w:rsidRPr="00033B3D" w:rsidRDefault="00E72B1B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PRZEKAZYWANIE DANYCH DO PAŃSTWA TRZECIEGO</w:t>
      </w:r>
    </w:p>
    <w:p w14:paraId="38E4495D" w14:textId="79CB7E7C" w:rsidR="00E72B1B" w:rsidRDefault="00E72B1B" w:rsidP="000C74B0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 xml:space="preserve">Dane osobowe nie będą przekazywane do państwa trzeciego. </w:t>
      </w:r>
    </w:p>
    <w:p w14:paraId="6BDCA2B8" w14:textId="77777777" w:rsidR="00583938" w:rsidRDefault="00583938" w:rsidP="000C74B0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F4B2459" w14:textId="30BE6C8F" w:rsidR="00583938" w:rsidRDefault="0058393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1457781A" w14:textId="3E433D9B" w:rsidR="00583938" w:rsidRPr="00583938" w:rsidRDefault="00583938" w:rsidP="00583938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83938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KLAUZULA INFORMACYJNA INSTYTUCJI POŚREDNICZĄCEJ</w:t>
      </w:r>
    </w:p>
    <w:p w14:paraId="7D7D11F3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5F5A9E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F05C06" w14:textId="022664C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W celu wykonania obowiązku nałożonego art. 13 i 14 RODO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Pr="00583938">
        <w:rPr>
          <w:rFonts w:ascii="Calibri" w:hAnsi="Calibri" w:cs="Calibri"/>
          <w:color w:val="000000" w:themeColor="text1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Pr="00583938">
        <w:rPr>
          <w:rFonts w:ascii="Calibri" w:hAnsi="Calibri" w:cs="Calibri"/>
          <w:color w:val="000000" w:themeColor="text1"/>
        </w:rPr>
        <w:t xml:space="preserve">, informujemy o zasadach przetwarzania Państwa danych osobowych: </w:t>
      </w:r>
    </w:p>
    <w:p w14:paraId="52EE24D0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072A12" w14:textId="0C8484F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I. Administrator </w:t>
      </w:r>
    </w:p>
    <w:p w14:paraId="79E5D0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Odrębnym administratorem Państwa danych jest: </w:t>
      </w:r>
    </w:p>
    <w:p w14:paraId="008A0CA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Wojewódzki Urząd Pracy w Katowicach, ul. Kościuszki 30, 40-048 Katowice </w:t>
      </w:r>
    </w:p>
    <w:p w14:paraId="4FCA6F0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B13DA80" w14:textId="15073008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II. Cel przetwarzania danych </w:t>
      </w:r>
    </w:p>
    <w:p w14:paraId="53B2420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583938">
        <w:rPr>
          <w:rFonts w:ascii="Calibri" w:hAnsi="Calibri" w:cs="Calibri"/>
          <w:color w:val="000000" w:themeColor="text1"/>
        </w:rPr>
        <w:t>informacyjno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7314CFD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E48F2F3" w14:textId="241274BA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14:paraId="02817F0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60024D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III. Podstawa przetwarzania </w:t>
      </w:r>
    </w:p>
    <w:p w14:paraId="0E9112B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Będziemy przetwarzać Państwa dane osobowe w związku z tym, że: </w:t>
      </w:r>
    </w:p>
    <w:p w14:paraId="6E88989A" w14:textId="187477BD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Zobowiązuje nas do tego </w:t>
      </w:r>
      <w:r w:rsidRPr="00583938">
        <w:rPr>
          <w:rFonts w:ascii="Calibri" w:hAnsi="Calibri" w:cs="Calibri"/>
          <w:b/>
          <w:bCs/>
          <w:color w:val="000000" w:themeColor="text1"/>
        </w:rPr>
        <w:t xml:space="preserve">prawo </w:t>
      </w:r>
      <w:r w:rsidRPr="00583938">
        <w:rPr>
          <w:rFonts w:ascii="Calibri" w:hAnsi="Calibri" w:cs="Calibri"/>
          <w:color w:val="000000" w:themeColor="text1"/>
        </w:rPr>
        <w:t>(art. 6 ust. 1 lit. c, art. 9 ust. 2 lit. g oraz art. 10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3"/>
      </w:r>
      <w:r w:rsidRPr="00583938">
        <w:rPr>
          <w:rFonts w:ascii="Calibri" w:hAnsi="Calibri" w:cs="Calibri"/>
          <w:color w:val="000000" w:themeColor="text1"/>
        </w:rPr>
        <w:t xml:space="preserve"> RODO)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4"/>
      </w:r>
      <w:r w:rsidRPr="00583938">
        <w:rPr>
          <w:rFonts w:ascii="Calibri" w:hAnsi="Calibri" w:cs="Calibri"/>
          <w:color w:val="000000" w:themeColor="text1"/>
        </w:rPr>
        <w:t xml:space="preserve">: </w:t>
      </w:r>
    </w:p>
    <w:p w14:paraId="095331C7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57A94D13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583938">
        <w:rPr>
          <w:rFonts w:ascii="Calibri" w:hAnsi="Calibri" w:cs="Calibri"/>
          <w:color w:val="000000" w:themeColor="text1"/>
        </w:rPr>
        <w:t>późn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. zm.), </w:t>
      </w:r>
    </w:p>
    <w:p w14:paraId="14FEAB1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dnia 28 kwietnia 2022 r. o zasadach realizacji zadań finansowanych ze środków europejskich w perspektywie finansowej 2021-2027, w szczególności art. 87-93, </w:t>
      </w:r>
    </w:p>
    <w:p w14:paraId="08F58AD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14 czerwca 1960 r. - Kodeks postępowania administracyjnego, </w:t>
      </w:r>
    </w:p>
    <w:p w14:paraId="4EDCF209" w14:textId="725F796F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27 sierpnia 2009 r. o finansach publicznych, w szczególności art. 207 – 210, </w:t>
      </w:r>
    </w:p>
    <w:p w14:paraId="0D3E347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ustawa z dnia 14 lipca 1983 r. o narodowym zasobie archiwalnym i archiwach, </w:t>
      </w:r>
    </w:p>
    <w:p w14:paraId="2670647F" w14:textId="53C2917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z dnia 18 stycznia 2011 r. Prezesa Rady Ministrów w sprawie instrukcji kancelaryjnej, jednolitych rzeczowych wykazów akt oraz instrukcji w sprawie organizacji i zakresu działania archiwów zakładowych. </w:t>
      </w:r>
    </w:p>
    <w:p w14:paraId="46C0B04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F3B0B2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1A07FF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B533D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lastRenderedPageBreak/>
        <w:t xml:space="preserve">IV. Sposób pozyskiwania danych </w:t>
      </w:r>
    </w:p>
    <w:p w14:paraId="6F9240C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9593C41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8CB05CD" w14:textId="355AD99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V. Dostęp do danych osobowych </w:t>
      </w:r>
    </w:p>
    <w:p w14:paraId="7FAA73A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Dostęp do Państwa danych osobowych mają pracownicy i współpracownicy administratora. Ponadto Państwa dane osobowe mogą być powierzane lub udostępniane: </w:t>
      </w:r>
    </w:p>
    <w:p w14:paraId="4923698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podmiotom, którym zleciliśmy wykonywanie zadań w FE SL 2021-2027, </w:t>
      </w:r>
    </w:p>
    <w:p w14:paraId="6E94C2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podmioty uprawnione do uzyskania danych osobowych na podstawie przepisów prawa; </w:t>
      </w:r>
    </w:p>
    <w:p w14:paraId="5C03F85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organom Komisji Europejskiej, ministrowi właściwemu do spraw finansów publicznych, prezesowi zakładu ubezpieczeń społecznych, </w:t>
      </w:r>
    </w:p>
    <w:p w14:paraId="1F5BF99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podmiotom, które wykonują dla nas usługi związane z obsługą i rozwojem systemów teleinformatycznych, a także zapewnieniem łączności, np. dostawcom rozwiązań IT i operatorom telekomunikacyjnym. </w:t>
      </w:r>
    </w:p>
    <w:p w14:paraId="3F4903B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6835F6A" w14:textId="6F698CB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VI. Okres przechowywania danych </w:t>
      </w:r>
    </w:p>
    <w:p w14:paraId="3CCD528F" w14:textId="18F03084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Dane osobowe są przechowywane przez okres niezbędny do realizacji celów określonych w punkcie II.</w:t>
      </w:r>
    </w:p>
    <w:p w14:paraId="2E667BE9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19EFFE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VII. Prawa osób, których dane dotyczą </w:t>
      </w:r>
    </w:p>
    <w:p w14:paraId="361899B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Przysługują Państwu następujące prawa: </w:t>
      </w:r>
    </w:p>
    <w:p w14:paraId="68CF103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prawo dostępu do swoich danych oraz otrzymania ich kopii (art. 15 RODO), </w:t>
      </w:r>
    </w:p>
    <w:p w14:paraId="6AAF354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prawo do sprostowania swoich danych (art. 16 RODO), </w:t>
      </w:r>
    </w:p>
    <w:p w14:paraId="5E9AB57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prawo do usunięcia swoich danych (art. 17 RODO) - jeśli nie zaistniały okoliczności, o których mowa w art. 17 ust. 3 RODO, </w:t>
      </w:r>
    </w:p>
    <w:p w14:paraId="7030483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prawo do żądania od administratora ograniczenia przetwarzania swoich danych (art. 18 RODO), </w:t>
      </w:r>
    </w:p>
    <w:p w14:paraId="074EF904" w14:textId="4A0C1EB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5.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5"/>
      </w:r>
      <w:r w:rsidRPr="00583938">
        <w:rPr>
          <w:rFonts w:ascii="Calibri" w:hAnsi="Calibri" w:cs="Calibri"/>
          <w:color w:val="000000" w:themeColor="text1"/>
        </w:rPr>
        <w:t xml:space="preserve">, </w:t>
      </w:r>
    </w:p>
    <w:p w14:paraId="7BB3C75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375B203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AF28FD2" w14:textId="6F1FF08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VIII. Zautomatyzowane podejmowanie decyzji </w:t>
      </w:r>
    </w:p>
    <w:p w14:paraId="06844F0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nie będą podlegały zautomatyzowanemu podejmowaniu decyzji, w tym profilowaniu. </w:t>
      </w:r>
    </w:p>
    <w:p w14:paraId="587BF78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CD84397" w14:textId="3DF0C32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IX. Przekazywanie danych do państwa trzeciego </w:t>
      </w:r>
    </w:p>
    <w:p w14:paraId="2FA5CA5A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Państwa dane osobowe nie będą przekazywane do państwa trzeciego. </w:t>
      </w:r>
    </w:p>
    <w:p w14:paraId="252BB62D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650B804" w14:textId="26D3C4A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X. Kontakt z administratorem danych i Inspektorem Ochrony Danych </w:t>
      </w:r>
    </w:p>
    <w:p w14:paraId="61B0125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3ABCB035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pocztą tradycyjną (ul. Kościuszki 30, 40-048 Katowice), </w:t>
      </w:r>
    </w:p>
    <w:p w14:paraId="73C0ACDB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elektronicznie (adres e-mail:iod@wup-katowice.pl). </w:t>
      </w:r>
    </w:p>
    <w:p w14:paraId="6BEBCF57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37661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XI. Informacje dodatkowe </w:t>
      </w:r>
    </w:p>
    <w:p w14:paraId="18AA1C56" w14:textId="62DE1AA5" w:rsidR="00583938" w:rsidRPr="00033B3D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Informacje dotyczące przetwarzania danych osobowych w programie są dostępne na stronie: </w:t>
      </w:r>
      <w:hyperlink r:id="rId12" w:history="1">
        <w:r w:rsidR="00D322FD" w:rsidRPr="001D019C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="00D322FD">
        <w:rPr>
          <w:rFonts w:ascii="Calibri" w:hAnsi="Calibri" w:cs="Calibri"/>
          <w:color w:val="000000" w:themeColor="text1"/>
        </w:rPr>
        <w:t xml:space="preserve"> </w:t>
      </w:r>
    </w:p>
    <w:sectPr w:rsidR="00583938" w:rsidRPr="00033B3D" w:rsidSect="00347D85">
      <w:footerReference w:type="default" r:id="rId13"/>
      <w:headerReference w:type="first" r:id="rId14"/>
      <w:footerReference w:type="first" r:id="rId15"/>
      <w:pgSz w:w="11906" w:h="16838"/>
      <w:pgMar w:top="1134" w:right="1417" w:bottom="1418" w:left="1417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6F9F" w14:textId="77777777" w:rsidR="00A06C00" w:rsidRDefault="00A06C00" w:rsidP="007859AB">
      <w:pPr>
        <w:spacing w:after="0" w:line="240" w:lineRule="auto"/>
      </w:pPr>
      <w:r>
        <w:separator/>
      </w:r>
    </w:p>
  </w:endnote>
  <w:endnote w:type="continuationSeparator" w:id="0">
    <w:p w14:paraId="42C9ABE3" w14:textId="77777777" w:rsidR="00A06C00" w:rsidRDefault="00A06C00" w:rsidP="0078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90641"/>
      <w:docPartObj>
        <w:docPartGallery w:val="Page Numbers (Bottom of Page)"/>
        <w:docPartUnique/>
      </w:docPartObj>
    </w:sdtPr>
    <w:sdtEndPr/>
    <w:sdtContent>
      <w:p w14:paraId="26CF6593" w14:textId="122DED20" w:rsidR="007859AB" w:rsidRDefault="007859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D1B18" w14:textId="77777777" w:rsidR="007859AB" w:rsidRDefault="00785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131472"/>
      <w:docPartObj>
        <w:docPartGallery w:val="Page Numbers (Bottom of Page)"/>
        <w:docPartUnique/>
      </w:docPartObj>
    </w:sdtPr>
    <w:sdtEndPr/>
    <w:sdtContent>
      <w:p w14:paraId="7ED126A9" w14:textId="7C286D9A" w:rsidR="0050154C" w:rsidRDefault="005015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5B95E" w14:textId="77777777" w:rsidR="0050154C" w:rsidRDefault="00501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BBC8" w14:textId="77777777" w:rsidR="00A06C00" w:rsidRDefault="00A06C00" w:rsidP="007859AB">
      <w:pPr>
        <w:spacing w:after="0" w:line="240" w:lineRule="auto"/>
      </w:pPr>
      <w:r>
        <w:separator/>
      </w:r>
    </w:p>
  </w:footnote>
  <w:footnote w:type="continuationSeparator" w:id="0">
    <w:p w14:paraId="64B4F2DB" w14:textId="77777777" w:rsidR="00A06C00" w:rsidRDefault="00A06C00" w:rsidP="007859AB">
      <w:pPr>
        <w:spacing w:after="0" w:line="240" w:lineRule="auto"/>
      </w:pPr>
      <w:r>
        <w:continuationSeparator/>
      </w:r>
    </w:p>
  </w:footnote>
  <w:footnote w:id="1">
    <w:p w14:paraId="3971E44D" w14:textId="34EB451D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7FAB3D2A" w14:textId="4EC57D3B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A13B1F4" w14:textId="6C0C981F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472258BD" w14:textId="28D5E1D4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4E021151" w14:textId="209EB780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B5CD" w14:textId="2B3D734B" w:rsidR="003E053F" w:rsidRDefault="003E053F" w:rsidP="003E053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6F7CD52B" wp14:editId="230AB30E">
          <wp:extent cx="4714875" cy="647700"/>
          <wp:effectExtent l="0" t="0" r="9525" b="0"/>
          <wp:docPr id="593407645" name="Obraz 59340764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258F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07BD5"/>
    <w:multiLevelType w:val="multilevel"/>
    <w:tmpl w:val="F296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2616B"/>
    <w:multiLevelType w:val="multilevel"/>
    <w:tmpl w:val="30C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9543B"/>
    <w:multiLevelType w:val="multilevel"/>
    <w:tmpl w:val="88ACC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52813"/>
    <w:multiLevelType w:val="multilevel"/>
    <w:tmpl w:val="255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65561"/>
    <w:multiLevelType w:val="hybridMultilevel"/>
    <w:tmpl w:val="B51A4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D970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F6C16"/>
    <w:multiLevelType w:val="multilevel"/>
    <w:tmpl w:val="B9404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C74DF"/>
    <w:multiLevelType w:val="multilevel"/>
    <w:tmpl w:val="C96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93DB5"/>
    <w:multiLevelType w:val="multilevel"/>
    <w:tmpl w:val="193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120DF"/>
    <w:multiLevelType w:val="multilevel"/>
    <w:tmpl w:val="680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76617"/>
    <w:multiLevelType w:val="multilevel"/>
    <w:tmpl w:val="8E5E52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B27D4"/>
    <w:multiLevelType w:val="multilevel"/>
    <w:tmpl w:val="E08AA0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B57B2"/>
    <w:multiLevelType w:val="multilevel"/>
    <w:tmpl w:val="9E7A15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80BC7"/>
    <w:multiLevelType w:val="multilevel"/>
    <w:tmpl w:val="EF3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F1C29"/>
    <w:multiLevelType w:val="multilevel"/>
    <w:tmpl w:val="2A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46556"/>
    <w:multiLevelType w:val="multilevel"/>
    <w:tmpl w:val="B9F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E4A55"/>
    <w:multiLevelType w:val="multilevel"/>
    <w:tmpl w:val="82882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F094F"/>
    <w:multiLevelType w:val="multilevel"/>
    <w:tmpl w:val="94E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04EFF"/>
    <w:multiLevelType w:val="hybridMultilevel"/>
    <w:tmpl w:val="A5DA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8652842">
    <w:abstractNumId w:val="1"/>
  </w:num>
  <w:num w:numId="2" w16cid:durableId="1765299964">
    <w:abstractNumId w:val="2"/>
  </w:num>
  <w:num w:numId="3" w16cid:durableId="876621339">
    <w:abstractNumId w:val="12"/>
  </w:num>
  <w:num w:numId="4" w16cid:durableId="88039635">
    <w:abstractNumId w:val="20"/>
  </w:num>
  <w:num w:numId="5" w16cid:durableId="79836868">
    <w:abstractNumId w:val="11"/>
  </w:num>
  <w:num w:numId="6" w16cid:durableId="2031179406">
    <w:abstractNumId w:val="10"/>
  </w:num>
  <w:num w:numId="7" w16cid:durableId="1507014845">
    <w:abstractNumId w:val="17"/>
  </w:num>
  <w:num w:numId="8" w16cid:durableId="2111578919">
    <w:abstractNumId w:val="18"/>
  </w:num>
  <w:num w:numId="9" w16cid:durableId="255527563">
    <w:abstractNumId w:val="24"/>
  </w:num>
  <w:num w:numId="10" w16cid:durableId="160051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93245">
    <w:abstractNumId w:val="21"/>
  </w:num>
  <w:num w:numId="12" w16cid:durableId="697659676">
    <w:abstractNumId w:val="4"/>
  </w:num>
  <w:num w:numId="13" w16cid:durableId="656350097">
    <w:abstractNumId w:val="3"/>
  </w:num>
  <w:num w:numId="14" w16cid:durableId="96802251">
    <w:abstractNumId w:val="16"/>
  </w:num>
  <w:num w:numId="15" w16cid:durableId="277756676">
    <w:abstractNumId w:val="5"/>
  </w:num>
  <w:num w:numId="16" w16cid:durableId="795149181">
    <w:abstractNumId w:val="15"/>
  </w:num>
  <w:num w:numId="17" w16cid:durableId="1588492495">
    <w:abstractNumId w:val="9"/>
  </w:num>
  <w:num w:numId="18" w16cid:durableId="972751887">
    <w:abstractNumId w:val="22"/>
  </w:num>
  <w:num w:numId="19" w16cid:durableId="1149402736">
    <w:abstractNumId w:val="19"/>
  </w:num>
  <w:num w:numId="20" w16cid:durableId="1633169526">
    <w:abstractNumId w:val="8"/>
  </w:num>
  <w:num w:numId="21" w16cid:durableId="1102383130">
    <w:abstractNumId w:val="14"/>
  </w:num>
  <w:num w:numId="22" w16cid:durableId="1074814339">
    <w:abstractNumId w:val="13"/>
  </w:num>
  <w:num w:numId="23" w16cid:durableId="826554804">
    <w:abstractNumId w:val="23"/>
  </w:num>
  <w:num w:numId="24" w16cid:durableId="1063062094">
    <w:abstractNumId w:val="0"/>
  </w:num>
  <w:num w:numId="25" w16cid:durableId="203823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4"/>
    <w:rsid w:val="00033B3D"/>
    <w:rsid w:val="000431E5"/>
    <w:rsid w:val="00043431"/>
    <w:rsid w:val="00047CBB"/>
    <w:rsid w:val="000C43D7"/>
    <w:rsid w:val="000C74B0"/>
    <w:rsid w:val="001E2177"/>
    <w:rsid w:val="00245B7F"/>
    <w:rsid w:val="002908EF"/>
    <w:rsid w:val="003323E8"/>
    <w:rsid w:val="00344F8D"/>
    <w:rsid w:val="00347D85"/>
    <w:rsid w:val="00386A61"/>
    <w:rsid w:val="003E053F"/>
    <w:rsid w:val="004275FC"/>
    <w:rsid w:val="00466826"/>
    <w:rsid w:val="00473B59"/>
    <w:rsid w:val="004742FC"/>
    <w:rsid w:val="004A074A"/>
    <w:rsid w:val="004B68E8"/>
    <w:rsid w:val="004E7F2E"/>
    <w:rsid w:val="0050154C"/>
    <w:rsid w:val="005018D9"/>
    <w:rsid w:val="00536D9B"/>
    <w:rsid w:val="00563952"/>
    <w:rsid w:val="00580440"/>
    <w:rsid w:val="00583938"/>
    <w:rsid w:val="005852AC"/>
    <w:rsid w:val="005D7E11"/>
    <w:rsid w:val="005E4505"/>
    <w:rsid w:val="00663BFF"/>
    <w:rsid w:val="006A4CCC"/>
    <w:rsid w:val="006B5135"/>
    <w:rsid w:val="006B51DC"/>
    <w:rsid w:val="006C2CCC"/>
    <w:rsid w:val="006D5B18"/>
    <w:rsid w:val="006E6694"/>
    <w:rsid w:val="00704884"/>
    <w:rsid w:val="0072027E"/>
    <w:rsid w:val="00733AEC"/>
    <w:rsid w:val="007533F8"/>
    <w:rsid w:val="00767876"/>
    <w:rsid w:val="00770575"/>
    <w:rsid w:val="00775544"/>
    <w:rsid w:val="007859AB"/>
    <w:rsid w:val="008107BE"/>
    <w:rsid w:val="008D3FAD"/>
    <w:rsid w:val="00927DCA"/>
    <w:rsid w:val="00945C9A"/>
    <w:rsid w:val="009A1670"/>
    <w:rsid w:val="009D1ED1"/>
    <w:rsid w:val="00A06C00"/>
    <w:rsid w:val="00A21896"/>
    <w:rsid w:val="00A869A4"/>
    <w:rsid w:val="00AA3B4C"/>
    <w:rsid w:val="00AD0957"/>
    <w:rsid w:val="00B22D39"/>
    <w:rsid w:val="00BB2754"/>
    <w:rsid w:val="00C10765"/>
    <w:rsid w:val="00C21202"/>
    <w:rsid w:val="00C60C85"/>
    <w:rsid w:val="00C80165"/>
    <w:rsid w:val="00D07008"/>
    <w:rsid w:val="00D25E0C"/>
    <w:rsid w:val="00D322FD"/>
    <w:rsid w:val="00D4464F"/>
    <w:rsid w:val="00E553FA"/>
    <w:rsid w:val="00E72B1B"/>
    <w:rsid w:val="00F10DE7"/>
    <w:rsid w:val="00F1635E"/>
    <w:rsid w:val="00F50E34"/>
    <w:rsid w:val="00FA6151"/>
    <w:rsid w:val="00FD289D"/>
    <w:rsid w:val="00FE3C16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0E52FA"/>
  <w15:chartTrackingRefBased/>
  <w15:docId w15:val="{6D3C43CD-C874-4C38-821B-CA855F0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7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7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7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7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7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7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7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7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75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ytulsrodtekstowy">
    <w:name w:val="tytul_srodtekstowy"/>
    <w:basedOn w:val="Domylnaczcionkaakapitu"/>
    <w:rsid w:val="00BB2754"/>
  </w:style>
  <w:style w:type="character" w:styleId="Hipercze">
    <w:name w:val="Hyperlink"/>
    <w:basedOn w:val="Domylnaczcionkaakapitu"/>
    <w:uiPriority w:val="99"/>
    <w:unhideWhenUsed/>
    <w:rsid w:val="00BB2754"/>
    <w:rPr>
      <w:color w:val="0000FF"/>
      <w:u w:val="single"/>
    </w:rPr>
  </w:style>
  <w:style w:type="character" w:customStyle="1" w:styleId="Hipercze1">
    <w:name w:val="Hiperłącze1"/>
    <w:rsid w:val="00386A61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386A61"/>
    <w:pPr>
      <w:suppressAutoHyphens/>
      <w:spacing w:line="252" w:lineRule="auto"/>
      <w:ind w:left="720"/>
      <w:contextualSpacing/>
      <w:jc w:val="both"/>
    </w:pPr>
    <w:rPr>
      <w:rFonts w:ascii="Calibri" w:eastAsia="font444" w:hAnsi="Calibri" w:cs="Calibri"/>
      <w:sz w:val="24"/>
      <w:lang w:eastAsia="pl-PL"/>
      <w14:ligatures w14:val="none"/>
    </w:rPr>
  </w:style>
  <w:style w:type="paragraph" w:customStyle="1" w:styleId="Default">
    <w:name w:val="Default"/>
    <w:rsid w:val="005E4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AB"/>
  </w:style>
  <w:style w:type="paragraph" w:styleId="Stopka">
    <w:name w:val="footer"/>
    <w:basedOn w:val="Normalny"/>
    <w:link w:val="Stopka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AB"/>
  </w:style>
  <w:style w:type="paragraph" w:styleId="Tekstpodstawowy">
    <w:name w:val="Body Text"/>
    <w:basedOn w:val="Normalny"/>
    <w:link w:val="TekstpodstawowyZnak"/>
    <w:uiPriority w:val="1"/>
    <w:qFormat/>
    <w:rsid w:val="006A4CCC"/>
    <w:pPr>
      <w:widowControl w:val="0"/>
      <w:autoSpaceDE w:val="0"/>
      <w:autoSpaceDN w:val="0"/>
      <w:spacing w:before="61" w:after="0" w:line="240" w:lineRule="auto"/>
      <w:ind w:left="116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4CCC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393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uszeue.slaskie.pl/czytaj/dane_osobowe_FES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DC46-E841-423B-BCF5-55E08FB5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K.Smok</dc:creator>
  <cp:keywords/>
  <dc:description/>
  <cp:lastModifiedBy>Marzena Winek-Deka</cp:lastModifiedBy>
  <cp:revision>32</cp:revision>
  <cp:lastPrinted>2024-07-16T08:30:00Z</cp:lastPrinted>
  <dcterms:created xsi:type="dcterms:W3CDTF">2024-06-03T10:10:00Z</dcterms:created>
  <dcterms:modified xsi:type="dcterms:W3CDTF">2025-04-01T20:26:00Z</dcterms:modified>
</cp:coreProperties>
</file>